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2B3FE80"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6803BE">
        <w:rPr>
          <w:rFonts w:ascii="Arial" w:hAnsi="Arial" w:cs="Arial"/>
          <w:b/>
          <w:bCs/>
          <w:sz w:val="24"/>
        </w:rPr>
        <w:t>3</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DE18E8">
        <w:rPr>
          <w:rFonts w:ascii="Arial" w:hAnsi="Arial" w:cs="Arial"/>
          <w:b/>
          <w:bCs/>
          <w:sz w:val="24"/>
        </w:rPr>
        <w:t>8146</w:t>
      </w:r>
    </w:p>
    <w:p w14:paraId="0DDD9E9D" w14:textId="594679A2"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26</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October</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6803BE">
        <w:rPr>
          <w:rFonts w:ascii="Arial" w:eastAsia="MS Mincho" w:hAnsi="Arial" w:cs="Arial"/>
          <w:b/>
          <w:bCs/>
          <w:sz w:val="24"/>
          <w:lang w:eastAsia="ja-JP"/>
        </w:rPr>
        <w:t>13</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6803BE">
        <w:rPr>
          <w:rFonts w:ascii="Arial" w:eastAsia="MS Mincho" w:hAnsi="Arial" w:cs="Arial"/>
          <w:b/>
          <w:bCs/>
          <w:sz w:val="24"/>
          <w:lang w:eastAsia="ja-JP"/>
        </w:rPr>
        <w:t>November</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4A0CA5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DE18E8">
        <w:rPr>
          <w:rFonts w:ascii="Arial" w:hAnsi="Arial"/>
          <w:sz w:val="24"/>
          <w:lang w:val="en-US" w:eastAsia="ko-KR"/>
        </w:rPr>
        <w:t>11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78F647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E18E8" w:rsidRPr="00DE18E8">
        <w:rPr>
          <w:rFonts w:ascii="Arial" w:hAnsi="Arial"/>
          <w:sz w:val="24"/>
          <w:lang w:val="en-US"/>
        </w:rPr>
        <w:t>Remaining issues on NR Rel-16 UE features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BF75F6A" w14:textId="5BEEFD63" w:rsidR="008F0F07" w:rsidRPr="00C4426C" w:rsidRDefault="008F0F07" w:rsidP="008F0F07">
      <w:pPr>
        <w:pStyle w:val="0Maintext"/>
        <w:spacing w:after="60" w:afterAutospacing="0"/>
        <w:rPr>
          <w:lang w:val="en-US"/>
        </w:rPr>
      </w:pPr>
      <w:r w:rsidRPr="00C4426C">
        <w:rPr>
          <w:lang w:val="en-US"/>
        </w:rPr>
        <w:t xml:space="preserve">This contribution discusses </w:t>
      </w:r>
      <w:r w:rsidR="003D3218">
        <w:rPr>
          <w:lang w:val="en-US"/>
        </w:rPr>
        <w:t>a</w:t>
      </w:r>
      <w:r w:rsidR="004D5A47">
        <w:rPr>
          <w:lang w:val="en-US"/>
        </w:rPr>
        <w:t xml:space="preserve"> </w:t>
      </w:r>
      <w:r w:rsidR="003D3218">
        <w:rPr>
          <w:lang w:val="en-US"/>
        </w:rPr>
        <w:t xml:space="preserve">UE feature issue </w:t>
      </w:r>
      <w:r w:rsidRPr="00C4426C">
        <w:rPr>
          <w:lang w:val="en-US"/>
        </w:rPr>
        <w:t xml:space="preserve">related to Rel. 16 NR_eMIMO. </w:t>
      </w:r>
    </w:p>
    <w:p w14:paraId="4CA1F316" w14:textId="77777777" w:rsidR="008F0F07" w:rsidRPr="00645E28" w:rsidRDefault="008F0F07" w:rsidP="008F0F07">
      <w:pPr>
        <w:rPr>
          <w:sz w:val="20"/>
          <w:lang w:val="en-US" w:eastAsia="ko-KR"/>
        </w:rPr>
      </w:pPr>
    </w:p>
    <w:p w14:paraId="0E3F7A60" w14:textId="05F3C5C4" w:rsidR="00AE654F" w:rsidRDefault="00AE654F" w:rsidP="00BE549F">
      <w:pPr>
        <w:pStyle w:val="01Section1"/>
        <w:spacing w:before="0"/>
        <w:rPr>
          <w:lang w:val="en-US"/>
        </w:rPr>
      </w:pPr>
      <w:r>
        <w:rPr>
          <w:lang w:val="en-US"/>
        </w:rPr>
        <w:t xml:space="preserve">UE </w:t>
      </w:r>
      <w:r w:rsidR="00F7028F">
        <w:rPr>
          <w:lang w:val="en-US"/>
        </w:rPr>
        <w:t>capability</w:t>
      </w:r>
      <w:r w:rsidR="00FE3300">
        <w:rPr>
          <w:lang w:val="en-US"/>
        </w:rPr>
        <w:t xml:space="preserve"> on full power UL transmission</w:t>
      </w:r>
    </w:p>
    <w:p w14:paraId="21F66A76" w14:textId="72FC46EE" w:rsidR="00F10787" w:rsidRDefault="006D63F5" w:rsidP="00F10787">
      <w:pPr>
        <w:spacing w:after="120" w:line="288" w:lineRule="auto"/>
        <w:rPr>
          <w:sz w:val="20"/>
          <w:lang w:val="en-US"/>
        </w:rPr>
      </w:pPr>
      <w:r>
        <w:rPr>
          <w:sz w:val="20"/>
          <w:lang w:val="en-US"/>
        </w:rPr>
        <w:t>The following has been agreed regarding FG 16-5c-2</w:t>
      </w:r>
      <w:r w:rsidR="00D87D22">
        <w:rPr>
          <w:sz w:val="20"/>
          <w:lang w:val="en-US"/>
        </w:rPr>
        <w:t xml:space="preserve"> [</w:t>
      </w:r>
      <w:r w:rsidR="006A7D82">
        <w:rPr>
          <w:sz w:val="20"/>
          <w:lang w:val="en-US"/>
        </w:rPr>
        <w:t>1</w:t>
      </w:r>
      <w:r w:rsidR="00D87D22">
        <w:rPr>
          <w:sz w:val="20"/>
          <w:lang w:val="en-US"/>
        </w:rPr>
        <w:t>]</w:t>
      </w:r>
      <w:r w:rsidR="00F10787">
        <w:rPr>
          <w:sz w:val="20"/>
          <w:lang w:val="en-US"/>
        </w:rPr>
        <w:t>.</w:t>
      </w:r>
      <w:r>
        <w:rPr>
          <w:sz w:val="20"/>
          <w:lang w:val="en-US"/>
        </w:rPr>
        <w:t xml:space="preserve"> Our view about the FFS part is provided in this section.</w:t>
      </w:r>
      <w:r w:rsidR="00D87D22">
        <w:rPr>
          <w:sz w:val="20"/>
          <w:lang w:val="en-US"/>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8"/>
        <w:gridCol w:w="1543"/>
        <w:gridCol w:w="1836"/>
        <w:gridCol w:w="458"/>
        <w:gridCol w:w="492"/>
        <w:gridCol w:w="483"/>
        <w:gridCol w:w="222"/>
        <w:gridCol w:w="480"/>
        <w:gridCol w:w="421"/>
        <w:gridCol w:w="421"/>
        <w:gridCol w:w="222"/>
        <w:gridCol w:w="1484"/>
        <w:gridCol w:w="986"/>
      </w:tblGrid>
      <w:tr w:rsidR="00F554A1" w:rsidRPr="00F554A1" w14:paraId="4865D4AB" w14:textId="77777777" w:rsidTr="00F554A1">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6A704" w14:textId="77777777" w:rsidR="00F554A1" w:rsidRPr="00F554A1" w:rsidRDefault="00F554A1" w:rsidP="00F554A1">
            <w:pPr>
              <w:keepNext/>
              <w:keepLines/>
              <w:spacing w:after="0"/>
              <w:rPr>
                <w:rFonts w:ascii="Arial" w:hAnsi="Arial" w:cs="Arial"/>
                <w:color w:val="000000"/>
                <w:sz w:val="16"/>
                <w:szCs w:val="18"/>
                <w:lang w:eastAsia="ko-KR"/>
              </w:rPr>
            </w:pPr>
            <w:r w:rsidRPr="00F554A1">
              <w:rPr>
                <w:rFonts w:ascii="Arial" w:hAnsi="Arial" w:cs="Arial"/>
                <w:color w:val="000000"/>
                <w:sz w:val="16"/>
                <w:szCs w:val="18"/>
                <w:lang w:eastAsia="ko-KR"/>
              </w:rPr>
              <w:t>16-5c-2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22A82" w14:textId="77777777" w:rsidR="00F554A1" w:rsidRPr="00F554A1" w:rsidRDefault="00F554A1" w:rsidP="00F554A1">
            <w:pPr>
              <w:keepNext/>
              <w:keepLines/>
              <w:spacing w:after="0"/>
              <w:rPr>
                <w:rFonts w:ascii="Arial" w:hAnsi="Arial" w:cs="Arial"/>
                <w:color w:val="000000"/>
                <w:sz w:val="16"/>
                <w:szCs w:val="18"/>
                <w:lang w:eastAsia="ko-KR"/>
              </w:rPr>
            </w:pPr>
            <w:r w:rsidRPr="00F554A1">
              <w:rPr>
                <w:rFonts w:ascii="Arial" w:hAnsi="Arial" w:cs="Arial"/>
                <w:color w:val="000000"/>
                <w:sz w:val="16"/>
                <w:szCs w:val="18"/>
                <w:lang w:eastAsia="ko-KR"/>
              </w:rPr>
              <w:t xml:space="preserve">UL full power transmission </w:t>
            </w:r>
            <w:r w:rsidRPr="00F554A1">
              <w:rPr>
                <w:rFonts w:ascii="Arial" w:eastAsia="MS Mincho" w:hAnsi="Arial" w:cs="Arial"/>
                <w:color w:val="000000"/>
                <w:sz w:val="16"/>
                <w:szCs w:val="18"/>
              </w:rPr>
              <w:t>fullpowerMode2</w:t>
            </w:r>
            <w:r w:rsidRPr="00F554A1">
              <w:rPr>
                <w:rFonts w:ascii="Arial" w:hAnsi="Arial" w:cs="Arial"/>
                <w:color w:val="000000"/>
                <w:sz w:val="16"/>
                <w:szCs w:val="18"/>
                <w:lang w:eastAsia="ko-KR"/>
              </w:rPr>
              <w:t xml:space="preserve"> –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20F0" w14:textId="77777777" w:rsidR="00F554A1" w:rsidRPr="00F554A1" w:rsidRDefault="00F554A1" w:rsidP="003D270B">
            <w:pPr>
              <w:keepNext/>
              <w:keepLines/>
              <w:numPr>
                <w:ilvl w:val="0"/>
                <w:numId w:val="39"/>
              </w:numPr>
              <w:spacing w:after="0"/>
              <w:ind w:left="352"/>
              <w:rPr>
                <w:rFonts w:ascii="Arial" w:hAnsi="Arial" w:cs="Arial"/>
                <w:color w:val="000000"/>
                <w:sz w:val="16"/>
                <w:szCs w:val="18"/>
                <w:lang w:eastAsia="ko-KR"/>
              </w:rPr>
            </w:pPr>
            <w:r w:rsidRPr="00F554A1">
              <w:rPr>
                <w:rFonts w:ascii="Arial" w:hAnsi="Arial" w:cs="Arial"/>
                <w:color w:val="000000"/>
                <w:sz w:val="16"/>
                <w:szCs w:val="18"/>
                <w:lang w:eastAsia="ko-KR"/>
              </w:rPr>
              <w:t>The SRS configuration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7C1F" w14:textId="77777777" w:rsidR="00F554A1" w:rsidRPr="00F554A1" w:rsidRDefault="00F554A1" w:rsidP="00F554A1">
            <w:pPr>
              <w:keepNext/>
              <w:keepLines/>
              <w:spacing w:after="0"/>
              <w:rPr>
                <w:rFonts w:ascii="Arial" w:eastAsia="SimSun" w:hAnsi="Arial" w:cs="Arial"/>
                <w:color w:val="000000"/>
                <w:sz w:val="16"/>
                <w:szCs w:val="18"/>
              </w:rPr>
            </w:pPr>
            <w:r w:rsidRPr="00F554A1">
              <w:rPr>
                <w:rFonts w:ascii="Arial" w:eastAsia="SimSun" w:hAnsi="Arial" w:cs="Arial"/>
                <w:color w:val="000000"/>
                <w:sz w:val="16"/>
                <w:szCs w:val="18"/>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5813" w14:textId="77777777" w:rsidR="00F554A1" w:rsidRPr="00F554A1" w:rsidRDefault="00F554A1" w:rsidP="00F554A1">
            <w:pPr>
              <w:keepNext/>
              <w:keepLines/>
              <w:spacing w:after="0"/>
              <w:rPr>
                <w:rFonts w:ascii="Arial" w:eastAsia="SimSun" w:hAnsi="Arial" w:cs="Arial"/>
                <w:i/>
                <w:color w:val="000000"/>
                <w:sz w:val="16"/>
                <w:szCs w:val="18"/>
              </w:rPr>
            </w:pPr>
            <w:r w:rsidRPr="00F554A1">
              <w:rPr>
                <w:rFonts w:ascii="Arial" w:eastAsia="SimSun" w:hAnsi="Arial" w:cs="Arial"/>
                <w:color w:val="000000"/>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AE31" w14:textId="77777777" w:rsidR="00F554A1" w:rsidRPr="00F554A1" w:rsidRDefault="00F554A1" w:rsidP="00F554A1">
            <w:pPr>
              <w:keepNext/>
              <w:keepLines/>
              <w:spacing w:after="0"/>
              <w:rPr>
                <w:rFonts w:ascii="Arial" w:eastAsia="SimSun" w:hAnsi="Arial" w:cs="Arial"/>
                <w:color w:val="000000"/>
                <w:sz w:val="16"/>
                <w:szCs w:val="18"/>
              </w:rPr>
            </w:pPr>
            <w:r w:rsidRPr="00F554A1">
              <w:rPr>
                <w:rFonts w:ascii="Arial" w:eastAsia="SimSun" w:hAnsi="Arial"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46C0" w14:textId="77777777" w:rsidR="00F554A1" w:rsidRPr="00F554A1" w:rsidRDefault="00F554A1" w:rsidP="00F554A1">
            <w:pPr>
              <w:keepNext/>
              <w:keepLines/>
              <w:spacing w:after="0"/>
              <w:rPr>
                <w:rFonts w:ascii="Arial" w:eastAsia="SimSun" w:hAnsi="Arial" w:cs="Arial"/>
                <w:color w:val="00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E906" w14:textId="77777777" w:rsidR="00F554A1" w:rsidRPr="00F554A1" w:rsidRDefault="00F554A1" w:rsidP="00F554A1">
            <w:pPr>
              <w:keepNext/>
              <w:keepLines/>
              <w:spacing w:after="0"/>
              <w:rPr>
                <w:rFonts w:ascii="Arial" w:hAnsi="Arial" w:cs="Arial"/>
                <w:color w:val="000000"/>
                <w:sz w:val="16"/>
                <w:szCs w:val="18"/>
                <w:lang w:eastAsia="ko-KR"/>
              </w:rPr>
            </w:pPr>
            <w:r w:rsidRPr="00F554A1">
              <w:rPr>
                <w:rFonts w:ascii="Arial" w:hAnsi="Arial" w:cs="Arial"/>
                <w:color w:val="000000"/>
                <w:sz w:val="16"/>
                <w:szCs w:val="18"/>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6AA4" w14:textId="77777777" w:rsidR="00F554A1" w:rsidRPr="00F554A1" w:rsidRDefault="00F554A1" w:rsidP="00F554A1">
            <w:pPr>
              <w:keepNext/>
              <w:keepLines/>
              <w:spacing w:after="0"/>
              <w:rPr>
                <w:rFonts w:ascii="Arial" w:eastAsia="SimSun" w:hAnsi="Arial" w:cs="Arial"/>
                <w:color w:val="000000"/>
                <w:sz w:val="16"/>
                <w:szCs w:val="18"/>
              </w:rPr>
            </w:pPr>
            <w:r w:rsidRPr="00F554A1">
              <w:rPr>
                <w:rFonts w:ascii="Arial" w:eastAsia="SimSun" w:hAnsi="Arial" w:cs="Arial"/>
                <w:color w:val="000000"/>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FD8CB" w14:textId="77777777" w:rsidR="00F554A1" w:rsidRPr="00F554A1" w:rsidRDefault="00F554A1" w:rsidP="00F554A1">
            <w:pPr>
              <w:keepNext/>
              <w:keepLines/>
              <w:spacing w:after="0"/>
              <w:rPr>
                <w:rFonts w:ascii="Arial" w:eastAsia="SimSun" w:hAnsi="Arial" w:cs="Arial"/>
                <w:color w:val="000000"/>
                <w:sz w:val="16"/>
                <w:szCs w:val="18"/>
              </w:rPr>
            </w:pPr>
            <w:r w:rsidRPr="00F554A1">
              <w:rPr>
                <w:rFonts w:ascii="Arial" w:eastAsia="SimSun" w:hAnsi="Arial" w:cs="Arial"/>
                <w:color w:val="000000"/>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C949B" w14:textId="77777777" w:rsidR="00F554A1" w:rsidRPr="00F554A1" w:rsidRDefault="00F554A1" w:rsidP="00F554A1">
            <w:pPr>
              <w:keepNext/>
              <w:keepLines/>
              <w:spacing w:after="0"/>
              <w:rPr>
                <w:rFonts w:ascii="Arial" w:eastAsia="SimSun" w:hAnsi="Arial" w:cs="Arial"/>
                <w:color w:val="00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9BE7"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Component (1) candidate values: {1_2, 1_4, 1_2_4}</w:t>
            </w:r>
          </w:p>
          <w:p w14:paraId="64D2E374" w14:textId="77777777" w:rsidR="00F554A1" w:rsidRPr="00F554A1" w:rsidRDefault="00F554A1" w:rsidP="00F554A1">
            <w:pPr>
              <w:keepNext/>
              <w:keepLines/>
              <w:spacing w:after="0"/>
              <w:rPr>
                <w:rFonts w:ascii="Arial" w:eastAsia="SimSun" w:hAnsi="Arial"/>
                <w:color w:val="000000"/>
                <w:sz w:val="16"/>
              </w:rPr>
            </w:pPr>
          </w:p>
          <w:p w14:paraId="096CCF02"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1st state (1_2): each SRS resource can be configured with 1 port or 2 ports</w:t>
            </w:r>
          </w:p>
          <w:p w14:paraId="2E4E287D"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 xml:space="preserve"> </w:t>
            </w:r>
          </w:p>
          <w:p w14:paraId="0774160F"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2nd state (1_4):  each SRS resource can be configured with 1 port or 4 ports</w:t>
            </w:r>
          </w:p>
          <w:p w14:paraId="0B7EFE57"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 xml:space="preserve"> </w:t>
            </w:r>
          </w:p>
          <w:p w14:paraId="21F00E9F" w14:textId="77777777" w:rsidR="00F554A1" w:rsidRPr="00F554A1" w:rsidRDefault="00F554A1" w:rsidP="00F554A1">
            <w:pPr>
              <w:keepNext/>
              <w:keepLines/>
              <w:spacing w:after="0"/>
              <w:rPr>
                <w:rFonts w:ascii="Arial" w:eastAsia="SimSun" w:hAnsi="Arial"/>
                <w:color w:val="000000"/>
                <w:sz w:val="16"/>
              </w:rPr>
            </w:pPr>
            <w:r w:rsidRPr="00F554A1">
              <w:rPr>
                <w:rFonts w:ascii="Arial" w:eastAsia="SimSun" w:hAnsi="Arial"/>
                <w:color w:val="000000"/>
                <w:sz w:val="16"/>
              </w:rPr>
              <w:t>3rd state (1_2_4): each SRS resource can be configured with 1 port or 2 ports or 4 ports</w:t>
            </w:r>
          </w:p>
          <w:p w14:paraId="116DBA63" w14:textId="77777777" w:rsidR="00F554A1" w:rsidRPr="00F554A1" w:rsidRDefault="00F554A1" w:rsidP="00F554A1">
            <w:pPr>
              <w:keepNext/>
              <w:keepLines/>
              <w:spacing w:after="0"/>
              <w:rPr>
                <w:rFonts w:ascii="Arial" w:eastAsia="SimSun" w:hAnsi="Arial"/>
                <w:color w:val="000000"/>
                <w:sz w:val="16"/>
              </w:rPr>
            </w:pPr>
          </w:p>
          <w:p w14:paraId="39942C86" w14:textId="77777777" w:rsidR="00F554A1" w:rsidRPr="00F554A1" w:rsidRDefault="00F554A1" w:rsidP="00F554A1">
            <w:pPr>
              <w:keepNext/>
              <w:keepLines/>
              <w:spacing w:after="0"/>
              <w:rPr>
                <w:rFonts w:ascii="Arial" w:eastAsia="SimSun" w:hAnsi="Arial"/>
                <w:color w:val="000000"/>
                <w:sz w:val="16"/>
              </w:rPr>
            </w:pPr>
            <w:bookmarkStart w:id="3" w:name="_Hlk49209488"/>
            <w:r w:rsidRPr="00F554A1">
              <w:rPr>
                <w:rFonts w:ascii="Arial" w:eastAsia="SimSun" w:hAnsi="Arial"/>
                <w:color w:val="000000"/>
                <w:sz w:val="16"/>
                <w:highlight w:val="yellow"/>
              </w:rPr>
              <w:t>FFS:</w:t>
            </w:r>
            <w:r w:rsidRPr="00F554A1">
              <w:rPr>
                <w:rFonts w:ascii="Arial" w:eastAsia="SimSun" w:hAnsi="Arial"/>
                <w:color w:val="000000"/>
                <w:sz w:val="16"/>
              </w:rPr>
              <w:t xml:space="preserve"> Note: The max number of SRS resources with different ports is the same as the number of SRS resources</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F23E" w14:textId="77777777" w:rsidR="00F554A1" w:rsidRPr="00F554A1" w:rsidRDefault="00F554A1" w:rsidP="00F554A1">
            <w:pPr>
              <w:keepNext/>
              <w:keepLines/>
              <w:spacing w:after="0"/>
              <w:rPr>
                <w:rFonts w:ascii="Arial" w:eastAsia="SimSun" w:hAnsi="Arial" w:cs="Arial"/>
                <w:color w:val="000000"/>
                <w:sz w:val="16"/>
                <w:szCs w:val="18"/>
              </w:rPr>
            </w:pPr>
            <w:r w:rsidRPr="00F554A1">
              <w:rPr>
                <w:rFonts w:ascii="Arial" w:eastAsia="SimSun" w:hAnsi="Arial" w:cs="Arial"/>
                <w:color w:val="000000"/>
                <w:sz w:val="16"/>
                <w:szCs w:val="18"/>
              </w:rPr>
              <w:t>Optional with capability signaling</w:t>
            </w:r>
          </w:p>
        </w:tc>
      </w:tr>
    </w:tbl>
    <w:p w14:paraId="0E5F7CAE" w14:textId="77777777" w:rsidR="00F554A1" w:rsidRDefault="00F554A1" w:rsidP="00F10787">
      <w:pPr>
        <w:spacing w:after="120" w:line="288" w:lineRule="auto"/>
        <w:rPr>
          <w:sz w:val="20"/>
          <w:lang w:val="en-US"/>
        </w:rPr>
      </w:pPr>
    </w:p>
    <w:p w14:paraId="166F4F32" w14:textId="49D428D5" w:rsidR="00703015" w:rsidRDefault="00F83015" w:rsidP="00FE0C6D">
      <w:pPr>
        <w:spacing w:after="120" w:line="288" w:lineRule="auto"/>
        <w:jc w:val="both"/>
        <w:rPr>
          <w:sz w:val="20"/>
          <w:lang w:val="en-US"/>
        </w:rPr>
      </w:pPr>
      <w:r>
        <w:rPr>
          <w:sz w:val="20"/>
          <w:lang w:val="en-US"/>
        </w:rPr>
        <w:t xml:space="preserve">In our view, </w:t>
      </w:r>
      <w:r w:rsidR="0047434B">
        <w:rPr>
          <w:sz w:val="20"/>
          <w:lang w:val="en-US"/>
        </w:rPr>
        <w:t>any restriction such as the FFS above is not needed and should be avoided due the following reasons.</w:t>
      </w:r>
    </w:p>
    <w:p w14:paraId="63F99E3A" w14:textId="28072B7F" w:rsidR="0047434B" w:rsidRDefault="0047434B" w:rsidP="0047434B">
      <w:pPr>
        <w:pStyle w:val="ListParagraph"/>
        <w:numPr>
          <w:ilvl w:val="0"/>
          <w:numId w:val="40"/>
        </w:numPr>
        <w:spacing w:after="120" w:line="288" w:lineRule="auto"/>
        <w:ind w:leftChars="0"/>
        <w:jc w:val="both"/>
        <w:rPr>
          <w:sz w:val="20"/>
          <w:lang w:val="en-US"/>
        </w:rPr>
      </w:pPr>
      <w:r>
        <w:rPr>
          <w:sz w:val="20"/>
          <w:lang w:val="en-US"/>
        </w:rPr>
        <w:t>Mode 2 supports two solutions for UL full power transmission. The first solution is based on TPMI group signaling from the UE</w:t>
      </w:r>
      <w:r w:rsidR="00F34BE2">
        <w:rPr>
          <w:sz w:val="20"/>
          <w:lang w:val="en-US"/>
        </w:rPr>
        <w:t xml:space="preserve"> (cf. FG 16-5c-3</w:t>
      </w:r>
      <w:r w:rsidR="00750D25">
        <w:rPr>
          <w:sz w:val="20"/>
          <w:lang w:val="en-US"/>
        </w:rPr>
        <w:t xml:space="preserve"> in [1]</w:t>
      </w:r>
      <w:r w:rsidR="00F34BE2">
        <w:rPr>
          <w:sz w:val="20"/>
          <w:lang w:val="en-US"/>
        </w:rPr>
        <w:t>)</w:t>
      </w:r>
      <w:r>
        <w:rPr>
          <w:sz w:val="20"/>
          <w:lang w:val="en-US"/>
        </w:rPr>
        <w:t xml:space="preserve"> and the second solution is based on multiple SRS resources with different number of number of </w:t>
      </w:r>
      <w:r w:rsidR="003B5B5C">
        <w:rPr>
          <w:sz w:val="20"/>
          <w:lang w:val="en-US"/>
        </w:rPr>
        <w:t xml:space="preserve">SRS </w:t>
      </w:r>
      <w:r>
        <w:rPr>
          <w:sz w:val="20"/>
          <w:lang w:val="en-US"/>
        </w:rPr>
        <w:t xml:space="preserve">ports in an SRS resource </w:t>
      </w:r>
      <w:r w:rsidR="006334E7">
        <w:rPr>
          <w:sz w:val="20"/>
          <w:lang w:val="en-US"/>
        </w:rPr>
        <w:t xml:space="preserve">set </w:t>
      </w:r>
      <w:r>
        <w:rPr>
          <w:sz w:val="20"/>
          <w:lang w:val="en-US"/>
        </w:rPr>
        <w:t xml:space="preserve">(in this later solution, virtualization across multiple SRS ports can be used to achieve full power). </w:t>
      </w:r>
      <w:r w:rsidR="003B5B5C">
        <w:rPr>
          <w:sz w:val="20"/>
          <w:lang w:val="en-US"/>
        </w:rPr>
        <w:t xml:space="preserve">Since the same SRS configuration mechanism is used for both solutions, there should not </w:t>
      </w:r>
      <w:r w:rsidR="00E31BCD">
        <w:rPr>
          <w:sz w:val="20"/>
          <w:lang w:val="en-US"/>
        </w:rPr>
        <w:t xml:space="preserve">be </w:t>
      </w:r>
      <w:r w:rsidR="003B5B5C">
        <w:rPr>
          <w:sz w:val="20"/>
          <w:lang w:val="en-US"/>
        </w:rPr>
        <w:t>any restriction based on one solution (e.g. the second solution here) that can affect the other solution (e.g. the first solution here).</w:t>
      </w:r>
      <w:r w:rsidR="00967816">
        <w:rPr>
          <w:sz w:val="20"/>
          <w:lang w:val="en-US"/>
        </w:rPr>
        <w:t xml:space="preserve"> In o</w:t>
      </w:r>
      <w:r w:rsidR="0013029F">
        <w:rPr>
          <w:sz w:val="20"/>
          <w:lang w:val="en-US"/>
        </w:rPr>
        <w:t>ther word</w:t>
      </w:r>
      <w:r w:rsidR="00967816">
        <w:rPr>
          <w:sz w:val="20"/>
          <w:lang w:val="en-US"/>
        </w:rPr>
        <w:t>s, the SRS configuration mechanism should be the same regardless of which solution(s) the UE support(s).</w:t>
      </w:r>
      <w:r w:rsidR="003B5B5C">
        <w:rPr>
          <w:sz w:val="20"/>
          <w:lang w:val="en-US"/>
        </w:rPr>
        <w:t xml:space="preserve"> </w:t>
      </w:r>
    </w:p>
    <w:p w14:paraId="1E4B0F7D" w14:textId="4E36F63B" w:rsidR="003B5B5C" w:rsidRDefault="003B5B5C" w:rsidP="0047434B">
      <w:pPr>
        <w:pStyle w:val="ListParagraph"/>
        <w:numPr>
          <w:ilvl w:val="0"/>
          <w:numId w:val="40"/>
        </w:numPr>
        <w:spacing w:after="120" w:line="288" w:lineRule="auto"/>
        <w:ind w:leftChars="0"/>
        <w:jc w:val="both"/>
        <w:rPr>
          <w:sz w:val="20"/>
          <w:lang w:val="en-US"/>
        </w:rPr>
      </w:pPr>
      <w:r>
        <w:rPr>
          <w:sz w:val="20"/>
          <w:lang w:val="en-US"/>
        </w:rPr>
        <w:lastRenderedPageBreak/>
        <w:t xml:space="preserve">Even for a UE reporting FG 16-5c-2, the gNB should be allowed to configure the same number of SRS ports within an SRS resource set (in addition to configuring different number of SRS ports). For example, if the UE reports 1_2_4, the gNB should be allowed to configure, for example, two SRS resources each with 2 SRS ports. </w:t>
      </w:r>
    </w:p>
    <w:p w14:paraId="6B2F61BF" w14:textId="6789200E" w:rsidR="0047434B" w:rsidRDefault="00D15FE0" w:rsidP="0047434B">
      <w:pPr>
        <w:pStyle w:val="ListParagraph"/>
        <w:numPr>
          <w:ilvl w:val="0"/>
          <w:numId w:val="40"/>
        </w:numPr>
        <w:spacing w:after="120" w:line="288" w:lineRule="auto"/>
        <w:ind w:leftChars="0"/>
        <w:jc w:val="both"/>
        <w:rPr>
          <w:sz w:val="20"/>
          <w:lang w:val="en-US"/>
        </w:rPr>
      </w:pPr>
      <w:r>
        <w:rPr>
          <w:sz w:val="20"/>
          <w:lang w:val="en-US"/>
        </w:rPr>
        <w:t>We have the following in TS 38.214 [2].</w:t>
      </w:r>
      <w:r w:rsidR="0047434B">
        <w:rPr>
          <w:sz w:val="20"/>
          <w:lang w:val="en-US"/>
        </w:rPr>
        <w:t xml:space="preserve"> </w:t>
      </w:r>
      <w:r w:rsidR="00CF645A">
        <w:rPr>
          <w:sz w:val="20"/>
          <w:lang w:val="en-US"/>
        </w:rPr>
        <w:t xml:space="preserve">Based on the yellow highlighted text, it is evident that for mode 2, the UE can be configured with multiple SRS resources with the same number of SRS ports. Hence, the restriction in the FFS above requires imposing some restriction on the yellow highlighted text below, which is beyond the scope of the UE feature discussion. </w:t>
      </w:r>
    </w:p>
    <w:tbl>
      <w:tblPr>
        <w:tblStyle w:val="TableGrid"/>
        <w:tblW w:w="0" w:type="auto"/>
        <w:tblLook w:val="04A0" w:firstRow="1" w:lastRow="0" w:firstColumn="1" w:lastColumn="0" w:noHBand="0" w:noVBand="1"/>
      </w:tblPr>
      <w:tblGrid>
        <w:gridCol w:w="9629"/>
      </w:tblGrid>
      <w:tr w:rsidR="00CF645A" w14:paraId="584577B6" w14:textId="77777777" w:rsidTr="00CF645A">
        <w:tc>
          <w:tcPr>
            <w:tcW w:w="9629" w:type="dxa"/>
          </w:tcPr>
          <w:p w14:paraId="1C74EF7C" w14:textId="32A988D2" w:rsidR="00CF645A" w:rsidRPr="00CF645A" w:rsidRDefault="00CF645A" w:rsidP="00CF645A">
            <w:pPr>
              <w:spacing w:after="120" w:line="288" w:lineRule="auto"/>
              <w:jc w:val="both"/>
              <w:rPr>
                <w:b/>
                <w:sz w:val="20"/>
                <w:u w:val="single"/>
                <w:lang w:val="en-US"/>
              </w:rPr>
            </w:pPr>
            <w:r w:rsidRPr="00CF645A">
              <w:rPr>
                <w:b/>
                <w:sz w:val="20"/>
                <w:u w:val="single"/>
                <w:lang w:val="en-US"/>
              </w:rPr>
              <w:t>Section 6.1.1.1 of TS 38.214</w:t>
            </w:r>
          </w:p>
          <w:p w14:paraId="3284BFE0" w14:textId="77777777" w:rsidR="00CF645A" w:rsidRPr="00CF645A" w:rsidRDefault="00CF645A" w:rsidP="00CF645A">
            <w:pPr>
              <w:spacing w:after="120" w:line="288" w:lineRule="auto"/>
              <w:jc w:val="both"/>
              <w:rPr>
                <w:sz w:val="20"/>
                <w:lang w:val="en-US"/>
              </w:rPr>
            </w:pPr>
            <w:r w:rsidRPr="00CF645A">
              <w:rPr>
                <w:sz w:val="20"/>
                <w:lang w:val="en-US"/>
              </w:rPr>
              <w:t>…</w:t>
            </w:r>
          </w:p>
          <w:p w14:paraId="29C1B5B7" w14:textId="77777777" w:rsidR="00CF645A" w:rsidRPr="00CF645A" w:rsidRDefault="00CF645A" w:rsidP="00CF645A">
            <w:pPr>
              <w:rPr>
                <w:color w:val="000000"/>
                <w:sz w:val="20"/>
              </w:rPr>
            </w:pPr>
            <w:r w:rsidRPr="00CF645A">
              <w:rPr>
                <w:color w:val="000000"/>
                <w:sz w:val="20"/>
              </w:rPr>
              <w:t xml:space="preserve">When higher layer parameter </w:t>
            </w:r>
            <w:r w:rsidRPr="00CF645A">
              <w:rPr>
                <w:i/>
                <w:color w:val="000000"/>
                <w:sz w:val="20"/>
              </w:rPr>
              <w:t>ul-FullPowerTransmission-r16</w:t>
            </w:r>
            <w:r w:rsidRPr="00CF645A">
              <w:rPr>
                <w:color w:val="000000"/>
                <w:sz w:val="20"/>
              </w:rPr>
              <w:t xml:space="preserve"> is set to '</w:t>
            </w:r>
            <w:r w:rsidRPr="00CF645A">
              <w:rPr>
                <w:i/>
                <w:color w:val="000000"/>
                <w:sz w:val="20"/>
              </w:rPr>
              <w:t>fullpowerMode2</w:t>
            </w:r>
            <w:r w:rsidRPr="00CF645A">
              <w:rPr>
                <w:color w:val="000000"/>
                <w:sz w:val="20"/>
              </w:rPr>
              <w:t xml:space="preserve">', </w:t>
            </w:r>
          </w:p>
          <w:p w14:paraId="0764EFF2" w14:textId="77777777" w:rsidR="00CF645A" w:rsidRPr="00CF645A" w:rsidRDefault="00CF645A" w:rsidP="00CF645A">
            <w:pPr>
              <w:pStyle w:val="B2"/>
            </w:pPr>
            <w:r w:rsidRPr="00CF645A">
              <w:t>-</w:t>
            </w:r>
            <w:r w:rsidRPr="00CF645A">
              <w:tab/>
            </w:r>
            <w:r w:rsidRPr="00CF645A">
              <w:rPr>
                <w:highlight w:val="yellow"/>
              </w:rPr>
              <w:t xml:space="preserve">the UE can be configured with one SRS resource or multiple SRS resources with same or different number of SRS ports within an SRS resource set with </w:t>
            </w:r>
            <w:r w:rsidRPr="00CF645A">
              <w:rPr>
                <w:i/>
                <w:highlight w:val="yellow"/>
              </w:rPr>
              <w:t>usage</w:t>
            </w:r>
            <w:r w:rsidRPr="00CF645A">
              <w:rPr>
                <w:highlight w:val="yellow"/>
              </w:rPr>
              <w:t xml:space="preserve"> set to '</w:t>
            </w:r>
            <w:r w:rsidRPr="00CF645A">
              <w:rPr>
                <w:i/>
                <w:iCs/>
                <w:highlight w:val="yellow"/>
              </w:rPr>
              <w:t>codebook</w:t>
            </w:r>
            <w:r w:rsidRPr="00CF645A">
              <w:rPr>
                <w:highlight w:val="yellow"/>
              </w:rPr>
              <w:t>'.</w:t>
            </w:r>
          </w:p>
          <w:p w14:paraId="4655CECF" w14:textId="77777777" w:rsidR="00CF645A" w:rsidRPr="00CF645A" w:rsidRDefault="00CF645A" w:rsidP="00CF645A">
            <w:pPr>
              <w:pStyle w:val="B2"/>
              <w:rPr>
                <w:bCs/>
              </w:rPr>
            </w:pPr>
            <w:r w:rsidRPr="00CF645A">
              <w:rPr>
                <w:bCs/>
              </w:rPr>
              <w:t>-</w:t>
            </w:r>
            <w:r w:rsidRPr="00CF645A">
              <w:rPr>
                <w:bCs/>
              </w:rPr>
              <w:tab/>
              <w:t xml:space="preserve">up to 2 different spatial relations can be configured for all SRS resources </w:t>
            </w:r>
            <w:r w:rsidRPr="00CF645A">
              <w:rPr>
                <w:rFonts w:eastAsiaTheme="minorEastAsia" w:hint="eastAsia"/>
                <w:bCs/>
                <w:lang w:eastAsia="zh-CN"/>
              </w:rPr>
              <w:t xml:space="preserve">in </w:t>
            </w:r>
            <w:r w:rsidRPr="00CF645A">
              <w:rPr>
                <w:rFonts w:eastAsiaTheme="minorEastAsia"/>
                <w:bCs/>
                <w:lang w:eastAsia="zh-CN"/>
              </w:rPr>
              <w:t>the</w:t>
            </w:r>
            <w:r w:rsidRPr="00CF645A">
              <w:rPr>
                <w:rFonts w:eastAsiaTheme="minorEastAsia" w:hint="eastAsia"/>
                <w:bCs/>
                <w:lang w:eastAsia="zh-CN"/>
              </w:rPr>
              <w:t xml:space="preserve"> SRS resource set </w:t>
            </w:r>
            <w:r w:rsidRPr="00CF645A">
              <w:rPr>
                <w:bCs/>
              </w:rPr>
              <w:t xml:space="preserve">with usage set to 'codebook' </w:t>
            </w:r>
            <w:r w:rsidRPr="00CF645A">
              <w:rPr>
                <w:rFonts w:eastAsiaTheme="minorEastAsia" w:hint="eastAsia"/>
                <w:bCs/>
                <w:lang w:eastAsia="zh-CN"/>
              </w:rPr>
              <w:t>when</w:t>
            </w:r>
            <w:r w:rsidRPr="00CF645A">
              <w:rPr>
                <w:color w:val="000000"/>
                <w:lang w:val="en-AU" w:eastAsia="x-none"/>
              </w:rPr>
              <w:t xml:space="preserve"> multiple SRS resources are configured </w:t>
            </w:r>
            <w:r w:rsidRPr="00CF645A">
              <w:rPr>
                <w:rFonts w:eastAsiaTheme="minorEastAsia" w:hint="eastAsia"/>
                <w:color w:val="000000"/>
                <w:lang w:val="en-AU" w:eastAsia="zh-CN"/>
              </w:rPr>
              <w:t>in the SRS resource set</w:t>
            </w:r>
            <w:r w:rsidRPr="00CF645A">
              <w:rPr>
                <w:bCs/>
              </w:rPr>
              <w:t xml:space="preserve">. </w:t>
            </w:r>
          </w:p>
          <w:p w14:paraId="31099929" w14:textId="1DC5E761" w:rsidR="00CF645A" w:rsidRPr="00CF645A" w:rsidRDefault="00CF645A" w:rsidP="00CF645A">
            <w:pPr>
              <w:pStyle w:val="ListParagraph"/>
              <w:numPr>
                <w:ilvl w:val="0"/>
                <w:numId w:val="42"/>
              </w:numPr>
              <w:spacing w:after="120" w:line="288" w:lineRule="auto"/>
              <w:ind w:leftChars="0"/>
              <w:jc w:val="both"/>
              <w:rPr>
                <w:sz w:val="20"/>
                <w:lang w:val="en-US"/>
              </w:rPr>
            </w:pPr>
            <w:r w:rsidRPr="00CF645A">
              <w:rPr>
                <w:sz w:val="20"/>
              </w:rPr>
              <w:t xml:space="preserve">subject to UE capability, </w:t>
            </w:r>
            <w:r w:rsidRPr="00CF645A">
              <w:rPr>
                <w:bCs/>
                <w:sz w:val="20"/>
              </w:rPr>
              <w:t xml:space="preserve">a maximum of </w:t>
            </w:r>
            <w:r w:rsidRPr="00CF645A">
              <w:rPr>
                <w:bCs/>
                <w:sz w:val="20"/>
                <w:lang w:val="en-US"/>
              </w:rPr>
              <w:t xml:space="preserve">2 or </w:t>
            </w:r>
            <w:r w:rsidRPr="00CF645A">
              <w:rPr>
                <w:bCs/>
                <w:sz w:val="20"/>
              </w:rPr>
              <w:t xml:space="preserve">4 SRS resources are supported </w:t>
            </w:r>
            <w:r w:rsidRPr="00CF645A">
              <w:rPr>
                <w:bCs/>
                <w:sz w:val="20"/>
                <w:lang w:val="en-US"/>
              </w:rPr>
              <w:t>in</w:t>
            </w:r>
            <w:r w:rsidRPr="00CF645A">
              <w:rPr>
                <w:bCs/>
                <w:sz w:val="20"/>
              </w:rPr>
              <w:t xml:space="preserve"> an SRS resource set with </w:t>
            </w:r>
            <w:r w:rsidRPr="00CF645A">
              <w:rPr>
                <w:bCs/>
                <w:i/>
                <w:sz w:val="20"/>
              </w:rPr>
              <w:t>usage</w:t>
            </w:r>
            <w:r w:rsidRPr="00CF645A">
              <w:rPr>
                <w:bCs/>
                <w:sz w:val="20"/>
              </w:rPr>
              <w:t xml:space="preserve"> set to 'codebook'</w:t>
            </w:r>
          </w:p>
        </w:tc>
      </w:tr>
    </w:tbl>
    <w:p w14:paraId="2517ECE8" w14:textId="4044DC2D" w:rsidR="00CF645A" w:rsidRDefault="00CF645A" w:rsidP="00CF645A">
      <w:pPr>
        <w:spacing w:after="120" w:line="288" w:lineRule="auto"/>
        <w:jc w:val="both"/>
        <w:rPr>
          <w:sz w:val="20"/>
          <w:lang w:val="en-US"/>
        </w:rPr>
      </w:pPr>
    </w:p>
    <w:p w14:paraId="2CBF7D38" w14:textId="49AE1799" w:rsidR="00CF645A" w:rsidRPr="00CF645A" w:rsidRDefault="00CF645A" w:rsidP="00CF645A">
      <w:pPr>
        <w:spacing w:after="120" w:line="288" w:lineRule="auto"/>
        <w:jc w:val="both"/>
        <w:rPr>
          <w:sz w:val="20"/>
          <w:lang w:val="en-US"/>
        </w:rPr>
      </w:pPr>
      <w:r>
        <w:rPr>
          <w:sz w:val="20"/>
          <w:lang w:val="en-US"/>
        </w:rPr>
        <w:t>Based on the above, we propose the following.</w:t>
      </w:r>
    </w:p>
    <w:p w14:paraId="15BB17F5" w14:textId="7A7BD7C7" w:rsidR="00517D9D" w:rsidRPr="007A2413" w:rsidRDefault="00517D9D" w:rsidP="00677E07">
      <w:pPr>
        <w:spacing w:after="120" w:line="288" w:lineRule="auto"/>
        <w:rPr>
          <w:i/>
          <w:sz w:val="20"/>
          <w:lang w:eastAsia="ko-KR"/>
        </w:rPr>
      </w:pPr>
      <w:r w:rsidRPr="007A2413">
        <w:rPr>
          <w:b/>
          <w:i/>
          <w:sz w:val="20"/>
          <w:lang w:eastAsia="ko-KR"/>
        </w:rPr>
        <w:t xml:space="preserve">Proposal </w:t>
      </w:r>
      <w:r w:rsidR="00CF645A">
        <w:rPr>
          <w:b/>
          <w:i/>
          <w:sz w:val="20"/>
          <w:lang w:eastAsia="ko-KR"/>
        </w:rPr>
        <w:t>1</w:t>
      </w:r>
      <w:r w:rsidRPr="007A2413">
        <w:rPr>
          <w:i/>
          <w:sz w:val="20"/>
          <w:lang w:eastAsia="ko-KR"/>
        </w:rPr>
        <w:t xml:space="preserve">: </w:t>
      </w:r>
      <w:r w:rsidR="008611F7">
        <w:rPr>
          <w:i/>
          <w:sz w:val="20"/>
          <w:lang w:eastAsia="ko-KR"/>
        </w:rPr>
        <w:t xml:space="preserve">The FFS in FG 16-5c-2 </w:t>
      </w:r>
      <w:r w:rsidR="00CF645A">
        <w:rPr>
          <w:i/>
          <w:sz w:val="20"/>
          <w:lang w:eastAsia="ko-KR"/>
        </w:rPr>
        <w:t xml:space="preserve">is not needed, hence </w:t>
      </w:r>
      <w:r w:rsidR="008611F7">
        <w:rPr>
          <w:i/>
          <w:sz w:val="20"/>
          <w:lang w:eastAsia="ko-KR"/>
        </w:rPr>
        <w:t>should be removed.</w:t>
      </w:r>
    </w:p>
    <w:p w14:paraId="386DC0C3" w14:textId="77777777" w:rsidR="008C01DB" w:rsidRPr="008C01DB" w:rsidRDefault="008C01DB" w:rsidP="008C01DB">
      <w:pPr>
        <w:spacing w:after="120" w:line="288" w:lineRule="auto"/>
        <w:jc w:val="both"/>
        <w:rPr>
          <w:i/>
          <w:sz w:val="20"/>
          <w:lang w:eastAsia="ko-KR"/>
        </w:rPr>
      </w:pPr>
    </w:p>
    <w:p w14:paraId="2C7DB55B" w14:textId="381CC00F" w:rsidR="00FE3300" w:rsidRDefault="00FE3300" w:rsidP="00FE3300">
      <w:pPr>
        <w:pStyle w:val="01Section1"/>
      </w:pPr>
      <w:r>
        <w:rPr>
          <w:rFonts w:hint="eastAsia"/>
        </w:rPr>
        <w:t>UE capability on multi-TRP</w:t>
      </w:r>
    </w:p>
    <w:p w14:paraId="337B33D4" w14:textId="77777777" w:rsidR="00FE3300" w:rsidRPr="005F05C8" w:rsidRDefault="00FE3300" w:rsidP="00FE3300">
      <w:pPr>
        <w:pStyle w:val="0Maintext"/>
        <w:spacing w:after="60" w:afterAutospacing="0"/>
        <w:rPr>
          <w:lang w:val="en-US" w:eastAsia="ko-KR"/>
        </w:rPr>
      </w:pPr>
      <w:r w:rsidRPr="005F05C8">
        <w:rPr>
          <w:lang w:val="en-US" w:eastAsia="ko-KR"/>
        </w:rPr>
        <w:t xml:space="preserve">FG 5-11/5-11a/5-11b describe the maximum number of unicast PDSCH’s per slot per CC a UE supports for UE processing time capability 1. FG 5-13/5-13a/5-13b/5-13c describe the maximum number of unicast PDSCHs per slot per CC a UE supports for UE processing time capability 2. In the current description of 5-11/5-13, it is not very clear if two PDSCH transmissions for FDM scheme B and TDM scheme A are counted separately toward the number a UE reported. In our view, both the schemes involve demodulation and LLR generation operation similar to handling of two separate PDSCH TB’s in non-M-TRP situation. They also involve combining operation of two separately processed LLR’s for decoding operation or may involve two decoding operations depending on implementation. </w:t>
      </w:r>
    </w:p>
    <w:p w14:paraId="1880257C" w14:textId="77777777" w:rsidR="00FE3300" w:rsidRPr="005F05C8" w:rsidRDefault="00FE3300" w:rsidP="00FE3300">
      <w:pPr>
        <w:pStyle w:val="0Maintext"/>
        <w:spacing w:after="60" w:afterAutospacing="0"/>
        <w:rPr>
          <w:lang w:val="en-US" w:eastAsia="ko-KR"/>
        </w:rPr>
      </w:pPr>
      <w:r w:rsidRPr="005F05C8">
        <w:rPr>
          <w:lang w:val="en-US" w:eastAsia="ko-KR"/>
        </w:rPr>
        <w:t xml:space="preserve">In #102-e meeting, we proposed to count two PDSCHs in FDM scheme B and TDM scheme A separately for the purpose of FG 5-11/5-13. However, a concern was raised since this implies that a UE needs to support at least two unicast PDSCHs to support FDM scheme B and TDM scheme A. To address this concern, two possible solutions without ASN.1 impact were discussed. </w:t>
      </w:r>
    </w:p>
    <w:p w14:paraId="072AB4E1" w14:textId="77777777" w:rsidR="00FE3300" w:rsidRPr="005F05C8" w:rsidRDefault="00FE3300" w:rsidP="00FE3300">
      <w:pPr>
        <w:pStyle w:val="0Maintext"/>
        <w:spacing w:after="60" w:afterAutospacing="0"/>
        <w:rPr>
          <w:lang w:val="en-US" w:eastAsia="ko-KR"/>
        </w:rPr>
      </w:pPr>
      <w:r w:rsidRPr="005F05C8">
        <w:rPr>
          <w:lang w:val="en-US" w:eastAsia="ko-KR"/>
        </w:rPr>
        <w:t>First one is to allow only up to one FDM scheme B or TDM scheme A in each slot per CC. One potential issue with this solution is that a UE would still need to handle up to one more PDSCH than what it declares when FDM scheme B or TDM scheme A is utilized. This solution also limits scheduling flexibility of the network.</w:t>
      </w:r>
    </w:p>
    <w:p w14:paraId="0C69E360" w14:textId="77777777" w:rsidR="00FE3300" w:rsidRPr="005F05C8" w:rsidRDefault="00FE3300" w:rsidP="00FE3300">
      <w:pPr>
        <w:pStyle w:val="0Maintext"/>
        <w:spacing w:after="60" w:afterAutospacing="0"/>
        <w:rPr>
          <w:lang w:val="en-US" w:eastAsia="ko-KR"/>
        </w:rPr>
      </w:pPr>
      <w:r w:rsidRPr="005F05C8">
        <w:rPr>
          <w:lang w:val="en-US" w:eastAsia="ko-KR"/>
        </w:rPr>
        <w:t>An alternative solution is to count two PDSCHs in FDM scheme B and TDM scheme A separately for the purpose of FG 5-11/5-13 only if a UE supports more than one unicast PDSCH in a slot. With this method, a UE does not need to support at least two unicast PDSCHs to support FDM scheme B and TDM scheme A, and the concern on too many PDSCHs for a higher-end UE can also be addressed while still allowing network scheduling flexibility. Hence, we propose the following based on this alternative.</w:t>
      </w:r>
    </w:p>
    <w:p w14:paraId="55447FDD" w14:textId="13A68639" w:rsidR="00FE3300" w:rsidRPr="009E1A31" w:rsidRDefault="00FE3300" w:rsidP="00FE3300">
      <w:pPr>
        <w:rPr>
          <w:i/>
          <w:iCs/>
          <w:sz w:val="20"/>
        </w:rPr>
      </w:pPr>
      <w:r w:rsidRPr="00BB1A10">
        <w:rPr>
          <w:b/>
          <w:bCs/>
          <w:i/>
          <w:iCs/>
          <w:sz w:val="20"/>
          <w:u w:val="single"/>
        </w:rPr>
        <w:t>Proposal 2</w:t>
      </w:r>
      <w:r w:rsidRPr="00BB1A10">
        <w:rPr>
          <w:i/>
          <w:iCs/>
          <w:sz w:val="20"/>
          <w:u w:val="single"/>
        </w:rPr>
        <w:t>:</w:t>
      </w:r>
      <w:r w:rsidRPr="009E1A31">
        <w:rPr>
          <w:rFonts w:hint="eastAsia"/>
          <w:i/>
          <w:iCs/>
          <w:sz w:val="20"/>
        </w:rPr>
        <w:t xml:space="preserve"> </w:t>
      </w:r>
      <w:r w:rsidRPr="005F05C8">
        <w:rPr>
          <w:i/>
          <w:iCs/>
          <w:sz w:val="20"/>
        </w:rPr>
        <w:t>Confirm the interpretation that two PDSCHs in FDM scheme B and TDM scheme A are counted separately for the purpose of FG 5-11/5-13 only if a UE supports more than one unicast PDSCH in a slot in a CC.</w:t>
      </w:r>
    </w:p>
    <w:p w14:paraId="4200C13D" w14:textId="0CB26938" w:rsidR="00FE3300" w:rsidRPr="00BB1A10" w:rsidRDefault="00FE3300" w:rsidP="00BB1A10">
      <w:pPr>
        <w:spacing w:after="120" w:line="288" w:lineRule="auto"/>
        <w:jc w:val="both"/>
        <w:rPr>
          <w:sz w:val="20"/>
        </w:rPr>
      </w:pPr>
    </w:p>
    <w:p w14:paraId="2D981A3F" w14:textId="019362BC" w:rsidR="00BE549F" w:rsidRPr="00F27612" w:rsidRDefault="00CC20ED" w:rsidP="00BE549F">
      <w:pPr>
        <w:pStyle w:val="01Section1"/>
        <w:spacing w:before="0"/>
        <w:rPr>
          <w:lang w:val="en-US"/>
        </w:rPr>
      </w:pPr>
      <w:r>
        <w:rPr>
          <w:lang w:val="en-US"/>
        </w:rPr>
        <w:lastRenderedPageBreak/>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72150ED8" w:rsidR="00BE549F" w:rsidRDefault="00981DD8" w:rsidP="00981DD8">
      <w:pPr>
        <w:pStyle w:val="0Maintext"/>
        <w:spacing w:after="120" w:afterAutospacing="0"/>
        <w:ind w:firstLine="450"/>
        <w:rPr>
          <w:lang w:val="en-US"/>
        </w:rPr>
      </w:pPr>
      <w:r>
        <w:rPr>
          <w:lang w:val="en-US"/>
        </w:rPr>
        <w:t>In this contribution, the following proposal</w:t>
      </w:r>
      <w:r w:rsidR="00FE3300">
        <w:rPr>
          <w:lang w:val="en-US"/>
        </w:rPr>
        <w:t>s</w:t>
      </w:r>
      <w:r w:rsidR="0071610F">
        <w:rPr>
          <w:lang w:val="en-US"/>
        </w:rPr>
        <w:t xml:space="preserve"> </w:t>
      </w:r>
      <w:r w:rsidR="00FE3300">
        <w:rPr>
          <w:lang w:val="en-US"/>
        </w:rPr>
        <w:t xml:space="preserve">are </w:t>
      </w:r>
      <w:r w:rsidR="0071610F">
        <w:rPr>
          <w:lang w:val="en-US"/>
        </w:rPr>
        <w:t>made</w:t>
      </w:r>
      <w:r w:rsidR="00806C68">
        <w:rPr>
          <w:lang w:val="en-US"/>
        </w:rPr>
        <w:t>.</w:t>
      </w:r>
      <w:r>
        <w:rPr>
          <w:lang w:val="en-US"/>
        </w:rPr>
        <w:t xml:space="preserve"> </w:t>
      </w:r>
    </w:p>
    <w:p w14:paraId="409007F1" w14:textId="77777777" w:rsidR="00CF645A" w:rsidRPr="007A2413" w:rsidRDefault="00CF645A" w:rsidP="00CF645A">
      <w:pPr>
        <w:spacing w:after="120" w:line="288" w:lineRule="auto"/>
        <w:rPr>
          <w:i/>
          <w:sz w:val="20"/>
          <w:lang w:eastAsia="ko-KR"/>
        </w:rPr>
      </w:pPr>
      <w:r w:rsidRPr="007A2413">
        <w:rPr>
          <w:b/>
          <w:i/>
          <w:sz w:val="20"/>
          <w:lang w:eastAsia="ko-KR"/>
        </w:rPr>
        <w:t xml:space="preserve">Proposal </w:t>
      </w:r>
      <w:r>
        <w:rPr>
          <w:b/>
          <w:i/>
          <w:sz w:val="20"/>
          <w:lang w:eastAsia="ko-KR"/>
        </w:rPr>
        <w:t>1</w:t>
      </w:r>
      <w:r w:rsidRPr="007A2413">
        <w:rPr>
          <w:i/>
          <w:sz w:val="20"/>
          <w:lang w:eastAsia="ko-KR"/>
        </w:rPr>
        <w:t xml:space="preserve">: </w:t>
      </w:r>
      <w:r>
        <w:rPr>
          <w:i/>
          <w:sz w:val="20"/>
          <w:lang w:eastAsia="ko-KR"/>
        </w:rPr>
        <w:t>The FFS in FG 16-5c-2 is not needed, hence should be removed.</w:t>
      </w:r>
    </w:p>
    <w:p w14:paraId="6F430FF1" w14:textId="3C502563" w:rsidR="00FE2CDD" w:rsidRPr="00BB1A10" w:rsidRDefault="00FE3300" w:rsidP="00BB1A10">
      <w:pPr>
        <w:rPr>
          <w:i/>
          <w:sz w:val="20"/>
        </w:rPr>
      </w:pPr>
      <w:r w:rsidRPr="00BB1A10">
        <w:rPr>
          <w:b/>
          <w:bCs/>
          <w:i/>
          <w:iCs/>
          <w:sz w:val="20"/>
          <w:u w:val="single"/>
        </w:rPr>
        <w:t>Proposal 2</w:t>
      </w:r>
      <w:r w:rsidRPr="00BB1A10">
        <w:rPr>
          <w:i/>
          <w:iCs/>
          <w:sz w:val="20"/>
          <w:u w:val="single"/>
        </w:rPr>
        <w:t>:</w:t>
      </w:r>
      <w:r w:rsidRPr="009E1A31">
        <w:rPr>
          <w:rFonts w:hint="eastAsia"/>
          <w:i/>
          <w:iCs/>
          <w:sz w:val="20"/>
        </w:rPr>
        <w:t xml:space="preserve"> </w:t>
      </w:r>
      <w:r w:rsidRPr="005F05C8">
        <w:rPr>
          <w:i/>
          <w:iCs/>
          <w:sz w:val="20"/>
        </w:rPr>
        <w:t>Confirm the interpretation that two PDSCHs in FDM scheme B and TDM scheme A are counted separately for the purpose of FG 5-11/5-13 only if a UE supports more than one unicast PDSCH in a slot in a CC.</w:t>
      </w:r>
    </w:p>
    <w:p w14:paraId="2AE5DE3E" w14:textId="77777777" w:rsidR="00FE3300" w:rsidRPr="00FE2CDD" w:rsidRDefault="00FE3300" w:rsidP="009D2465">
      <w:pPr>
        <w:pStyle w:val="ListParagraph"/>
        <w:ind w:leftChars="0" w:left="720"/>
        <w:rPr>
          <w:i/>
          <w:sz w:val="20"/>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3A4D432E" w14:textId="48C366F8" w:rsidR="00824333" w:rsidRDefault="00CA2EE5" w:rsidP="00CA2EE5">
      <w:pPr>
        <w:pStyle w:val="ListParagraph"/>
        <w:numPr>
          <w:ilvl w:val="0"/>
          <w:numId w:val="5"/>
        </w:numPr>
        <w:ind w:leftChars="0"/>
        <w:rPr>
          <w:rFonts w:cs="Batang"/>
          <w:sz w:val="20"/>
          <w:lang w:val="en-US" w:eastAsia="ko-KR"/>
        </w:rPr>
      </w:pPr>
      <w:r>
        <w:rPr>
          <w:rFonts w:cs="Batang"/>
          <w:sz w:val="20"/>
          <w:lang w:val="en-US" w:eastAsia="ko-KR"/>
        </w:rPr>
        <w:t>R1-2007326</w:t>
      </w:r>
      <w:r w:rsidR="00824333" w:rsidRPr="00824333">
        <w:rPr>
          <w:rFonts w:cs="Batang"/>
          <w:sz w:val="20"/>
          <w:lang w:val="en-US" w:eastAsia="ko-KR"/>
        </w:rPr>
        <w:t xml:space="preserve"> </w:t>
      </w:r>
      <w:r w:rsidRPr="00CA2EE5">
        <w:rPr>
          <w:rFonts w:cs="Batang"/>
          <w:sz w:val="20"/>
          <w:lang w:val="en-US" w:eastAsia="ko-KR"/>
        </w:rPr>
        <w:t>Updated RAN1 UE features list for Rel-16 NR including remaining RAN1 issues</w:t>
      </w:r>
      <w:r w:rsidR="00824333">
        <w:rPr>
          <w:rFonts w:cs="Batang"/>
          <w:sz w:val="20"/>
          <w:lang w:val="en-US" w:eastAsia="ko-KR"/>
        </w:rPr>
        <w:t xml:space="preserve">, </w:t>
      </w:r>
      <w:r w:rsidR="003B5A35" w:rsidRPr="00D42716">
        <w:rPr>
          <w:rFonts w:cs="Batang"/>
          <w:sz w:val="20"/>
          <w:lang w:val="en-US" w:eastAsia="ko-KR"/>
        </w:rPr>
        <w:t>Moderator</w:t>
      </w:r>
      <w:r>
        <w:rPr>
          <w:rFonts w:cs="Batang"/>
          <w:sz w:val="20"/>
          <w:lang w:val="en-US" w:eastAsia="ko-KR"/>
        </w:rPr>
        <w:t>s</w:t>
      </w:r>
      <w:r w:rsidR="003B5A35" w:rsidRPr="00D42716">
        <w:rPr>
          <w:rFonts w:cs="Batang"/>
          <w:sz w:val="20"/>
          <w:lang w:val="en-US" w:eastAsia="ko-KR"/>
        </w:rPr>
        <w:t xml:space="preserve"> </w:t>
      </w:r>
      <w:r w:rsidRPr="00CA2EE5">
        <w:rPr>
          <w:rFonts w:cs="Batang"/>
          <w:sz w:val="20"/>
          <w:lang w:val="en-US" w:eastAsia="ko-KR"/>
        </w:rPr>
        <w:t>(AT&amp;T, NTT DOCOMO, INC.)</w:t>
      </w:r>
      <w:r w:rsidR="003B5A35">
        <w:rPr>
          <w:rFonts w:cs="Batang"/>
          <w:sz w:val="20"/>
          <w:lang w:val="en-US" w:eastAsia="ko-KR"/>
        </w:rPr>
        <w:t>.</w:t>
      </w:r>
    </w:p>
    <w:p w14:paraId="0B520161" w14:textId="74957078" w:rsidR="00D15FE0" w:rsidRPr="00D42716" w:rsidRDefault="00D15FE0" w:rsidP="00CA2EE5">
      <w:pPr>
        <w:pStyle w:val="ListParagraph"/>
        <w:numPr>
          <w:ilvl w:val="0"/>
          <w:numId w:val="5"/>
        </w:numPr>
        <w:ind w:leftChars="0"/>
        <w:rPr>
          <w:rFonts w:cs="Batang"/>
          <w:sz w:val="20"/>
          <w:lang w:val="en-US" w:eastAsia="ko-KR"/>
        </w:rPr>
      </w:pPr>
      <w:r>
        <w:rPr>
          <w:rFonts w:cs="Batang"/>
          <w:sz w:val="20"/>
          <w:lang w:val="en-US" w:eastAsia="ko-KR"/>
        </w:rPr>
        <w:t>TS 38.214, v16.3.0</w:t>
      </w:r>
    </w:p>
    <w:sectPr w:rsidR="00D15FE0" w:rsidRPr="00D42716"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E6583" w14:textId="77777777" w:rsidR="00066041" w:rsidRDefault="00066041">
      <w:r>
        <w:separator/>
      </w:r>
    </w:p>
  </w:endnote>
  <w:endnote w:type="continuationSeparator" w:id="0">
    <w:p w14:paraId="181A3915" w14:textId="77777777" w:rsidR="00066041" w:rsidRDefault="0006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4B4F2" w14:textId="77777777" w:rsidR="00066041" w:rsidRDefault="00066041">
      <w:r>
        <w:separator/>
      </w:r>
    </w:p>
  </w:footnote>
  <w:footnote w:type="continuationSeparator" w:id="0">
    <w:p w14:paraId="4A490AC0" w14:textId="77777777" w:rsidR="00066041" w:rsidRDefault="00066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3C5261F"/>
    <w:multiLevelType w:val="hybridMultilevel"/>
    <w:tmpl w:val="5E84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274C6"/>
    <w:multiLevelType w:val="hybridMultilevel"/>
    <w:tmpl w:val="4D1ED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953ED"/>
    <w:multiLevelType w:val="hybridMultilevel"/>
    <w:tmpl w:val="8376AA08"/>
    <w:lvl w:ilvl="0" w:tplc="A7781450">
      <w:numFmt w:val="bullet"/>
      <w:lvlText w:val="-"/>
      <w:lvlJc w:val="left"/>
      <w:pPr>
        <w:ind w:left="567" w:firstLine="0"/>
      </w:pPr>
      <w:rPr>
        <w:rFonts w:ascii="Times New Roman" w:eastAsia="Malgun Gothic" w:hAnsi="Times New Roman" w:cs="Times New Roman"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9"/>
  </w:num>
  <w:num w:numId="4">
    <w:abstractNumId w:val="35"/>
  </w:num>
  <w:num w:numId="5">
    <w:abstractNumId w:val="3"/>
  </w:num>
  <w:num w:numId="6">
    <w:abstractNumId w:val="2"/>
  </w:num>
  <w:num w:numId="7">
    <w:abstractNumId w:val="30"/>
  </w:num>
  <w:num w:numId="8">
    <w:abstractNumId w:val="32"/>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4"/>
  </w:num>
  <w:num w:numId="12">
    <w:abstractNumId w:val="22"/>
  </w:num>
  <w:num w:numId="13">
    <w:abstractNumId w:val="17"/>
  </w:num>
  <w:num w:numId="14">
    <w:abstractNumId w:val="18"/>
  </w:num>
  <w:num w:numId="15">
    <w:abstractNumId w:val="1"/>
  </w:num>
  <w:num w:numId="16">
    <w:abstractNumId w:val="36"/>
  </w:num>
  <w:num w:numId="17">
    <w:abstractNumId w:val="11"/>
  </w:num>
  <w:num w:numId="18">
    <w:abstractNumId w:val="0"/>
  </w:num>
  <w:num w:numId="19">
    <w:abstractNumId w:val="28"/>
  </w:num>
  <w:num w:numId="20">
    <w:abstractNumId w:val="23"/>
  </w:num>
  <w:num w:numId="21">
    <w:abstractNumId w:val="40"/>
  </w:num>
  <w:num w:numId="22">
    <w:abstractNumId w:val="24"/>
  </w:num>
  <w:num w:numId="23">
    <w:abstractNumId w:val="37"/>
  </w:num>
  <w:num w:numId="24">
    <w:abstractNumId w:val="19"/>
  </w:num>
  <w:num w:numId="25">
    <w:abstractNumId w:val="16"/>
  </w:num>
  <w:num w:numId="26">
    <w:abstractNumId w:val="9"/>
  </w:num>
  <w:num w:numId="27">
    <w:abstractNumId w:val="26"/>
  </w:num>
  <w:num w:numId="28">
    <w:abstractNumId w:val="39"/>
  </w:num>
  <w:num w:numId="29">
    <w:abstractNumId w:val="33"/>
  </w:num>
  <w:num w:numId="30">
    <w:abstractNumId w:val="6"/>
  </w:num>
  <w:num w:numId="31">
    <w:abstractNumId w:val="41"/>
  </w:num>
  <w:num w:numId="32">
    <w:abstractNumId w:val="13"/>
  </w:num>
  <w:num w:numId="33">
    <w:abstractNumId w:val="34"/>
  </w:num>
  <w:num w:numId="34">
    <w:abstractNumId w:val="8"/>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1"/>
  </w:num>
  <w:num w:numId="39">
    <w:abstractNumId w:val="15"/>
  </w:num>
  <w:num w:numId="40">
    <w:abstractNumId w:val="4"/>
  </w:num>
  <w:num w:numId="41">
    <w:abstractNumId w:val="10"/>
  </w:num>
  <w:num w:numId="42">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041"/>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29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375"/>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B5C"/>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18"/>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34B"/>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4E7"/>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A7D82"/>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14B"/>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10F"/>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D25"/>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C68"/>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816"/>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BAB"/>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4BB"/>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A10"/>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3A5"/>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45A"/>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4BD"/>
    <w:rsid w:val="00D15929"/>
    <w:rsid w:val="00D15A2A"/>
    <w:rsid w:val="00D15FE0"/>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8E8"/>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1BCD"/>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BE2"/>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300"/>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9D700-58E6-41B5-9F70-1FE8F432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5644</TotalTime>
  <Pages>3</Pages>
  <Words>902</Words>
  <Characters>5145</Characters>
  <Application>Microsoft Office Word</Application>
  <DocSecurity>0</DocSecurity>
  <Lines>42</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302</cp:revision>
  <cp:lastPrinted>2017-03-24T05:34:00Z</cp:lastPrinted>
  <dcterms:created xsi:type="dcterms:W3CDTF">2019-11-18T09:28:00Z</dcterms:created>
  <dcterms:modified xsi:type="dcterms:W3CDTF">2020-10-16T13:11:00Z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